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1007__20"/>
      <w:bookmarkEnd w:id="2"/>
      <w:r>
        <w:rPr>
          <w:rFonts w:ascii="Times New Roman;Times;Serif" w:hAnsi="Times New Roman;Times;Serif"/>
          <w:b/>
          <w:i w:val="false"/>
          <w:caps w:val="false"/>
          <w:smallCaps w:val="false"/>
          <w:sz w:val="36"/>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3" w:name="xdx_907_edei--DocumentPeriodEndDate_c202"/>
      <w:bookmarkEnd w:id="3"/>
      <w:r>
        <w:rPr>
          <w:rFonts w:ascii="Times New Roman;Times;Serif" w:hAnsi="Times New Roman;Times;Serif"/>
          <w:b w:val="false"/>
          <w:i w:val="false"/>
          <w:caps w:val="false"/>
          <w:smallCaps w:val="false"/>
          <w:sz w:val="20"/>
        </w:rPr>
        <w:t>October 7, 2026 (October 6,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5_edei--EntityRegistrantName_c2026"/>
      <w:bookmarkEnd w:id="4"/>
      <w:r>
        <w:rPr>
          <w:rFonts w:ascii="Times New Roman;Times;Serif" w:hAnsi="Times New Roman;Times;Serif"/>
          <w:b/>
          <w:i w:val="false"/>
          <w:caps w:val="false"/>
          <w:smallCaps w:val="false"/>
          <w:sz w:val="36"/>
          <w:u w:val="single"/>
        </w:rPr>
        <w:t>ADVASA HOLDINGS,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115"/>
        <w:gridCol w:w="60"/>
        <w:gridCol w:w="153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1007"/>
            <w:bookmarkEnd w:id="6"/>
            <w:r>
              <w:rPr>
                <w:rFonts w:ascii="Times New Roman;Times;Serif" w:hAnsi="Times New Roman;Times;Serif"/>
                <w:b/>
                <w:i w:val="false"/>
                <w:caps w:val="false"/>
                <w:smallCaps w:val="false"/>
                <w:sz w:val="20"/>
              </w:rPr>
              <w:t>001-43445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39-3819559</w:t>
            </w:r>
          </w:p>
        </w:tc>
      </w:tr>
      <w:tr>
        <w:trPr/>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80"/>
        <w:gridCol w:w="60"/>
        <w:gridCol w:w="920"/>
      </w:tblGrid>
      <w:tr>
        <w:trPr/>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1-2-7 Moto-Akasake, </w:t>
            </w:r>
            <w:bookmarkStart w:id="9" w:name="xdx_909_edei--EntityAddressAddressLine2_"/>
            <w:bookmarkEnd w:id="9"/>
            <w:r>
              <w:rPr>
                <w:rFonts w:ascii="Times New Roman;Times;Serif" w:hAnsi="Times New Roman;Times;Serif"/>
                <w:b/>
                <w:i w:val="false"/>
                <w:caps w:val="false"/>
                <w:smallCaps w:val="false"/>
                <w:sz w:val="20"/>
              </w:rPr>
              <w:t xml:space="preserve">Minato-ku, </w:t>
            </w:r>
            <w:bookmarkStart w:id="10" w:name="xdx_908_edei--EntityAddressCityOrTown_c2"/>
            <w:bookmarkEnd w:id="10"/>
            <w:r>
              <w:rPr>
                <w:rFonts w:ascii="Times New Roman;Times;Serif" w:hAnsi="Times New Roman;Times;Serif"/>
                <w:b/>
                <w:i w:val="false"/>
                <w:caps w:val="false"/>
                <w:smallCaps w:val="false"/>
                <w:sz w:val="20"/>
              </w:rPr>
              <w:t xml:space="preserve">Tokyo, </w:t>
            </w:r>
            <w:bookmarkStart w:id="11" w:name="xdx_905_edei--EntityAddressCountry_c2026"/>
            <w:bookmarkEnd w:id="11"/>
            <w:r>
              <w:rPr>
                <w:rFonts w:ascii="Times New Roman;Times;Serif" w:hAnsi="Times New Roman;Times;Serif"/>
                <w:b/>
                <w:i w:val="false"/>
                <w:caps w:val="false"/>
                <w:smallCaps w:val="false"/>
                <w:sz w:val="20"/>
              </w:rPr>
              <w:t>Japan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0_edei--EntityAddressPostalZipCode"/>
            <w:bookmarkEnd w:id="12"/>
            <w:r>
              <w:rPr>
                <w:rFonts w:ascii="Times New Roman;Times;Serif" w:hAnsi="Times New Roman;Times;Serif"/>
                <w:b/>
                <w:i w:val="false"/>
                <w:caps w:val="false"/>
                <w:smallCaps w:val="false"/>
                <w:sz w:val="20"/>
              </w:rPr>
              <w:t>107-0051</w:t>
            </w:r>
          </w:p>
        </w:tc>
      </w:tr>
      <w:tr>
        <w:trPr/>
        <w:tc>
          <w:tcPr>
            <w:tcW w:w="3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xdx_907_edei--CountryRegion_c20261007__2"/>
      <w:bookmarkEnd w:id="13"/>
      <w:r>
        <w:rPr>
          <w:rFonts w:ascii="Times New Roman;Times;Serif" w:hAnsi="Times New Roman;Times;Serif"/>
          <w:b/>
          <w:i w:val="false"/>
          <w:caps w:val="false"/>
          <w:smallCaps w:val="false"/>
          <w:sz w:val="20"/>
        </w:rPr>
        <w:t>+81-</w:t>
      </w:r>
      <w:bookmarkStart w:id="14" w:name="xdx_909_edei--CityAreaCode_c20261007__20"/>
      <w:bookmarkEnd w:id="14"/>
      <w:r>
        <w:rPr>
          <w:rFonts w:ascii="Times New Roman;Times;Serif" w:hAnsi="Times New Roman;Times;Serif"/>
          <w:b/>
          <w:i w:val="false"/>
          <w:caps w:val="false"/>
          <w:smallCaps w:val="false"/>
          <w:sz w:val="20"/>
        </w:rPr>
        <w:t>3-</w:t>
      </w:r>
      <w:bookmarkStart w:id="15" w:name="xdx_904_edei--LocalPhoneNumber_c20261007"/>
      <w:bookmarkEnd w:id="15"/>
      <w:r>
        <w:rPr>
          <w:rFonts w:ascii="Times New Roman;Times;Serif" w:hAnsi="Times New Roman;Times;Serif"/>
          <w:b/>
          <w:i w:val="false"/>
          <w:caps w:val="false"/>
          <w:smallCaps w:val="false"/>
          <w:sz w:val="20"/>
        </w:rPr>
        <w:t>6868-5538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bookmarkStart w:id="16" w:name="xdx_905_edei--WrittenCommunications_c202"/>
            <w:bookmarkEnd w:id="16"/>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7" w:name="xdx_909_edei--SolicitingMaterial_c202610"/>
            <w:bookmarkEnd w:id="17"/>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8" w:name="xdx_902_edei--PreCommencementTenderOffer"/>
            <w:bookmarkEnd w:id="18"/>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9" w:name="xdx_907_edei--PreCommencementIssuerTende"/>
            <w:bookmarkEnd w:id="19"/>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280" w:type="dxa"/>
        <w:jc w:val="left"/>
        <w:tblInd w:w="0" w:type="dxa"/>
        <w:shd w:fill="FFFFFF" w:val="clear"/>
        <w:tblLayout w:type="fixed"/>
        <w:tblCellMar>
          <w:top w:w="0" w:type="dxa"/>
          <w:left w:w="0" w:type="dxa"/>
          <w:bottom w:w="28" w:type="dxa"/>
          <w:right w:w="0" w:type="dxa"/>
        </w:tblCellMar>
      </w:tblPr>
      <w:tblGrid>
        <w:gridCol w:w="2960"/>
        <w:gridCol w:w="60"/>
        <w:gridCol w:w="1490"/>
        <w:gridCol w:w="60"/>
        <w:gridCol w:w="3710"/>
      </w:tblGrid>
      <w:tr>
        <w:trPr/>
        <w:tc>
          <w:tcPr>
            <w:tcW w:w="29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Security12bTitle_c20261007"/>
            <w:bookmarkEnd w:id="20"/>
            <w:r>
              <w:rPr>
                <w:rFonts w:ascii="Times New Roman;Times;Serif" w:hAnsi="Times New Roman;Times;Serif"/>
                <w:b w:val="false"/>
                <w:i w:val="false"/>
                <w:caps w:val="false"/>
                <w:smallCaps w:val="false"/>
                <w:sz w:val="20"/>
              </w:rPr>
              <w:t>Common Stock, par value $0.00001</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TradingSymbol_c20261007__2"/>
            <w:bookmarkEnd w:id="21"/>
            <w:r>
              <w:rPr>
                <w:rFonts w:ascii="Times New Roman;Times;Serif" w:hAnsi="Times New Roman;Times;Serif"/>
                <w:b w:val="false"/>
                <w:i w:val="false"/>
                <w:caps w:val="false"/>
                <w:smallCaps w:val="false"/>
                <w:sz w:val="20"/>
              </w:rPr>
              <w:t>ADBT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SecurityExchangeName_c2026"/>
            <w:bookmarkEnd w:id="22"/>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4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9_edei--EntityExTransitionPeriod_c"/>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Financial Officer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William Witherspoon, independent director of the board of directors (the “Board”) of Advasa Holdings, Inc. (the “Company”) and the Company entered into an employment agreement (the “Employment Agreement”), effective as of October 6, 2026 (the “Employment Agreement Effective Date”), pursuant to which Mr. Witherspoon will serve as Chief Financial Officer of the Company. Grady Ryther, the Company’s Chief Executive Officer, who has been serving as interim Chief Financial Officer since the departure of the Company’s prior Chief Financial Officer, Katharyn Field, on August 27, 2026, shall step down from his role as interim Chief Financial Officer in connection with Mr. Witherspoon’s appointment. Mr. Witherspoon will continue as a member of the Board as a non-independent director, however Mr. Witherspoon will step down from his roles on the Audit Committee, Compensation Committee and Nominating and Corporate Governance Committee of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Witherspoon has served as an independent director and a member of the Audit Committee, Compensation Committee and Nominating and Corporate Governance Committee of the Company since June 24, 2026. Mr. Witherspoon is a U.S. citizen. Mr. Witherspoon has served as Asset Acquisition Manager for UMcapital since January 2025, supporting the confirmation and preparation of in-ground and SKR assets for potential acquisition. Since January 2020, he has also served as Principal of Hubert Development, where he leads multifamily and commercial real-estate projects through acquisition, pre-development, financing, construction, and stabilization. From January 2017 to present, he has concurrently worked as a Financial and Settlement Consultant with Forge Consulting, advising high-net-worth clients on trust, estate, insurance, and long-term financial strategies. He has also continued operating Shire Gate Farm, founded in 2007, and Four Paws Pet Resort, founded in 2005, both of which remained active during the past five years. Mr. Witherspoon holds an M.B.A. from George Washington University and a B.S. in Housing &amp; Community Development from the University of Georgia.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Witherspoon has no family relationships with any of the Company’s directors or executive officers, and he is not a party to, and does not have any direct or indirect material interest in, any transaction requiring disclosure under Item 404(a) of Regulation S-K.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Employment Agreement, Mr. Witherspoon will be paid an annual base salary of $200,000. In addition, Mr. Witherspoon shall be eligible to receive discretionary bonuses and discretion grants of equity of the Company, as determined by the Board or authorized compensation committee in their sole and absolute discretion. Pursuant to the Employment Agreement, Mr. Witherspoon shall be entitled to fringe benefits consistent with the practices of the Company, and to the extent the Company provides similar benefits to the Company’s executive officers. Mr. Witherspoon shall also be entitled to reimbursement for all reasonable and necessary out-of-pocket business, entertainment and travel expenses incurred by Mr. Witherspoon in connection with his performance as Chief Financial Officer and in accordance with the Company’s expense reimbursement policies and procedures available to similarly situated executives.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is at will, and either party to the agreement may terminate it at any time. Mr. Witherspoon will give at least thirty (30) days’ prior written notice in the case of any such resignation. Pursuant to the Employment Agreement, Mr. Witherspoon agreed to be bound by certain confidentiality and other standard covenants contained therein.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Employment Agreement is qualified in its entirety by reference to the text of such agreement, which is filed as Exhibit 10.1 to this Current Report on Form 8-K and incorporated herein by reference.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85" w:type="dxa"/>
        <w:jc w:val="left"/>
        <w:tblInd w:w="0" w:type="dxa"/>
        <w:shd w:fill="FFFFFF" w:val="clear"/>
        <w:tblLayout w:type="fixed"/>
        <w:tblCellMar>
          <w:top w:w="0" w:type="dxa"/>
          <w:left w:w="0" w:type="dxa"/>
          <w:bottom w:w="0" w:type="dxa"/>
          <w:right w:w="0" w:type="dxa"/>
        </w:tblCellMar>
      </w:tblPr>
      <w:tblGrid>
        <w:gridCol w:w="260"/>
        <w:gridCol w:w="725"/>
      </w:tblGrid>
      <w:tr>
        <w:trPr/>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9010" w:type="dxa"/>
        <w:jc w:val="left"/>
        <w:tblInd w:w="0" w:type="dxa"/>
        <w:shd w:fill="FFFFFF" w:val="clear"/>
        <w:tblLayout w:type="fixed"/>
        <w:tblCellMar>
          <w:top w:w="0" w:type="dxa"/>
          <w:left w:w="0" w:type="dxa"/>
          <w:bottom w:w="0" w:type="dxa"/>
          <w:right w:w="0" w:type="dxa"/>
        </w:tblCellMar>
      </w:tblPr>
      <w:tblGrid>
        <w:gridCol w:w="395"/>
        <w:gridCol w:w="60"/>
        <w:gridCol w:w="8555"/>
      </w:tblGrid>
      <w:tr>
        <w:trPr/>
        <w:tc>
          <w:tcPr>
            <w:tcW w:w="3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555" w:type="dxa"/>
            <w:tcBorders/>
            <w:shd w:fill="CCEEFF" w:val="cle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Employment Agreement, dated October 6, 2026, by and between the Company and William Witherspoon</w:t>
              </w:r>
            </w:hyperlink>
          </w:p>
        </w:tc>
      </w:tr>
      <w:tr>
        <w:trPr/>
        <w:tc>
          <w:tcPr>
            <w:tcW w:w="3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5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425" w:type="dxa"/>
        <w:jc w:val="left"/>
        <w:tblInd w:w="0" w:type="dxa"/>
        <w:shd w:fill="FFFFFF" w:val="clear"/>
        <w:tblLayout w:type="fixed"/>
        <w:tblCellMar>
          <w:top w:w="0" w:type="dxa"/>
          <w:left w:w="0" w:type="dxa"/>
          <w:bottom w:w="0" w:type="dxa"/>
          <w:right w:w="0" w:type="dxa"/>
        </w:tblCellMar>
      </w:tblPr>
      <w:tblGrid>
        <w:gridCol w:w="1925"/>
        <w:gridCol w:w="545"/>
        <w:gridCol w:w="1955"/>
      </w:tblGrid>
      <w:tr>
        <w:trPr/>
        <w:tc>
          <w:tcPr>
            <w:tcW w:w="19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7, 2026</w:t>
            </w:r>
          </w:p>
        </w:tc>
        <w:tc>
          <w:tcPr>
            <w:tcW w:w="2500"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tc>
      </w:tr>
      <w:tr>
        <w:trPr/>
        <w:tc>
          <w:tcPr>
            <w:tcW w:w="1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Grady Ryther</w:t>
            </w:r>
          </w:p>
        </w:tc>
      </w:tr>
      <w:tr>
        <w:trPr/>
        <w:tc>
          <w:tcPr>
            <w:tcW w:w="1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Grady Ryther</w:t>
            </w:r>
          </w:p>
        </w:tc>
      </w:tr>
      <w:tr>
        <w:trPr/>
        <w:tc>
          <w:tcPr>
            <w:tcW w:w="19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center"/>
        <w:rPr>
          <w:caps w:val="false"/>
          <w:smallCaps w:val="false"/>
        </w:rPr>
      </w:pPr>
      <w:bookmarkStart w:id="25" w:name="ex10-1.htm"/>
      <w:bookmarkStart w:id="26" w:name="ksex10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Executive Employment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October 6,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Employment Agreement (the “Agreement”) dated as of the date first set forth above (the “Effective Date”) is entered into by and between Advasa Holdings, Inc., a Delaware corporation (the “Company”) and William Witherspoon (the “Executive”). The Company and Executive may collectively be referred to as the “Parties” and each individually as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now desires to employ the Executive as the Chief Financial Officer of the Company and the Executive desires to serve in such capacity on behalf of the Company, in each case subject to the terms and conditions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promises and of the mutual covenants and agreements hereinafter set forth, and for other good and valuable consideration, the receipt and sufficiency of which is hereby acknowledged, the Company and the Executive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At-Will Employment</w:t>
            </w:r>
            <w:r>
              <w:rPr>
                <w:rFonts w:ascii="Times New Roman;Times;Serif" w:hAnsi="Times New Roman;Times;Serif"/>
                <w:b w:val="false"/>
                <w:i w:val="false"/>
                <w:caps w:val="false"/>
                <w:smallCaps w:val="false"/>
                <w:sz w:val="20"/>
              </w:rPr>
              <w:t>. Employment is at will, and either Party may terminate it at any time, for any reason or no reason. The Executive will give at least thirty (30) days’ prior written notice of resignation. The Company may waive all or part of any notice period, place the Executive on paid leave during it, or pay Base Salary in lieu of it. The period of time during which the Company employs executive shall be referred to as the “Term.”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Duties</w:t>
            </w:r>
            <w:r>
              <w:rPr>
                <w:rFonts w:ascii="Times New Roman;Times;Serif" w:hAnsi="Times New Roman;Times;Serif"/>
                <w:b w:val="false"/>
                <w:i w:val="false"/>
                <w:caps w:val="false"/>
                <w:smallCaps w:val="false"/>
                <w:sz w:val="20"/>
              </w:rPr>
              <w:t>. The Company hereby appoints Executive, and Executive shall serve, as the Chief Financial Officer of the Company and shall report to the Chief Executive Officer of the Company (the “CEO”) and the Board of Directors of the Company (the “Board”) and to such other persons as designated by the Board. The Executive shall have such duties and responsibilities as are consistent with Executive’s position with the Company. In addition, the Executive shall perform all other duties and accept all other responsibilities incident to such position as may reasonably assigned to Executive by the Board.</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Compensation and Other Benefits</w:t>
      </w:r>
      <w:r>
        <w:rPr>
          <w:rFonts w:ascii="Times New Roman;Times;Serif" w:hAnsi="Times New Roman;Times;Serif"/>
          <w:b w:val="false"/>
          <w:i w:val="false"/>
          <w:caps w:val="false"/>
          <w:smallCaps w:val="false"/>
          <w:sz w:val="20"/>
        </w:rPr>
        <w:t>. As compensation for the services to be rendered hereunder, during the Term the Company shall pay to the Executive the salary and bonuses, and shall provide the benefits, as set forth in this ‎Section 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The Company shall pay to the Executive an initial annual base salary of $200,000 (Two Hundred Thousand Dollars), payable on a monthly basis commencing on the Effective Date (as the same may be adjusted herein, the “Base Salary”). The Base Salary shall be paid in accordance with the Company’s payroll policies.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Bonus</w:t>
            </w:r>
            <w:r>
              <w:rPr>
                <w:rFonts w:ascii="Times New Roman;Times;Serif" w:hAnsi="Times New Roman;Times;Serif"/>
                <w:b w:val="false"/>
                <w:i w:val="false"/>
                <w:caps w:val="false"/>
                <w:smallCaps w:val="false"/>
                <w:sz w:val="20"/>
              </w:rPr>
              <w:t>. The Executive shall be eligible to receive discretionary bonuses and discretion grants of equity of the Company, as determined by the Board or authorized compensation committee in their sole and absolute discretion. No amount, percentage, grant date, vesting, or bonus is promised by this agreement. Any approved equity grant will be governed by the applicable plan and separate award agreement, including trading, reporting, tax, and clawback terms.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Fringe Benefits</w:t>
            </w:r>
            <w:r>
              <w:rPr>
                <w:rFonts w:ascii="Times New Roman;Times;Serif" w:hAnsi="Times New Roman;Times;Serif"/>
                <w:b w:val="false"/>
                <w:i w:val="false"/>
                <w:caps w:val="false"/>
                <w:smallCaps w:val="false"/>
                <w:sz w:val="20"/>
              </w:rPr>
              <w:t>. During the Term, the Executive shall be entitled to fringe benefits consistent with the practices of the Company, and to the extent the Company provides similar benefits to the Company’s executive officers. The Company reserves the right to modify, amend, or terminate any employee benefit plan in its sole discretion.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Business Expenses</w:t>
            </w:r>
            <w:r>
              <w:rPr>
                <w:rFonts w:ascii="Times New Roman;Times;Serif" w:hAnsi="Times New Roman;Times;Serif"/>
                <w:b w:val="false"/>
                <w:i w:val="false"/>
                <w:caps w:val="false"/>
                <w:smallCaps w:val="false"/>
                <w:sz w:val="20"/>
              </w:rPr>
              <w:t>. The Executive shall be entitled to reimbursement for all reasonable and necessary out-of-pocket business, entertainment and travel expenses incurred by the Executive in connection with the performance of Executive’s duties hereunder and in accordance with the Company’s expense reimbursement policies and procedures available to similarly situated executives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Payment Clawback Requirements</w:t>
      </w:r>
      <w:r>
        <w:rPr>
          <w:rFonts w:ascii="Times New Roman;Times;Serif" w:hAnsi="Times New Roman;Times;Serif"/>
          <w:b w:val="false"/>
          <w:i w:val="false"/>
          <w:caps w:val="false"/>
          <w:smallCaps w:val="false"/>
          <w:sz w:val="20"/>
        </w:rPr>
        <w:t>. Each Annual Bonus, any other incentive-based compensation (as defined under Section 10D of the Securities Exchange Act of 1934, as amended (the “</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and Rule 10D-1 thereunder), and each other amount payable under this Agreement, is subject to any compensation recovery or clawback policy of the Company as in effect from time to time (including any policy adopted to comply with Section 10D of the Exchange Act, Rule 10D-1 thereunder and the applicable listing standards of the exchange on which the Public Company’s securities are listed), Section 304 of the Sarbanes-Oxley Act of 2002 and applicable law. For the avoidance of doubt, RSUs that vest based solely on continued service are not incentive-based compensation for purposes of any policy adopted to comply with Rule 10D-1, but remain subject to Section 304 of the Sarbanes-Oxley Act of 2002 and any other recovery required by applicable law. The Executive will promptly repay any amount required to be recovered.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Post-Termination Assistance</w:t>
      </w:r>
      <w:r>
        <w:rPr>
          <w:rFonts w:ascii="Times New Roman;Times;Serif" w:hAnsi="Times New Roman;Times;Serif"/>
          <w:b w:val="false"/>
          <w:i w:val="false"/>
          <w:caps w:val="false"/>
          <w:smallCaps w:val="false"/>
          <w:sz w:val="20"/>
        </w:rPr>
        <w:t>. Upon the Executive’s termination of employment with the Company, the Executive agrees to fully cooperate in all matters relating to the winding up or pending work on behalf of the Company and the orderly transfer of work to other employees of the Company following any termination of the Executives’ employment. The Executive further agrees that Executive will provide, upon reasonable notice, such information and assistance to the Company as may reasonably be requested by the Company in connection with any audit, governmental investigation, litigation, or other dispute in which the Company is or may become a party and as to which the Executive has knowledge; provided, however, that (i) the Company agrees to reimburse the Executive for any related out-of-pocket expenses, including travel expenses, and (ii) any such assistance may not unreasonably interfere with Executive’s then current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 xml:space="preserve">Confidentiality. </w:t>
      </w:r>
      <w:r>
        <w:rPr>
          <w:rFonts w:ascii="Times New Roman;Times;Serif" w:hAnsi="Times New Roman;Times;Serif"/>
          <w:b w:val="false"/>
          <w:i w:val="false"/>
          <w:caps w:val="false"/>
          <w:smallCaps w:val="false"/>
          <w:sz w:val="20"/>
        </w:rPr>
        <w:t>During and after employment, the Executive will hold in strict confidence and will not use or disclose except in performing the Executive’s duties, all non-public information concerning the Company Group or its business, technology, finances, investors, transactions, customers, suppliers or personnel, in any form (“Confidential Information”). Confidential Information excludes information that becomes public without breach by the Executive or is lawfully obtained from a third party without a confidentiality duty. The Executive’s obligations will continue for as long as the information remains confidential and, for trade secrets, for as long as applicable law protects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 of Work Product.</w:t>
            </w:r>
            <w:r>
              <w:rPr>
                <w:rFonts w:ascii="Times New Roman;Times;Serif" w:hAnsi="Times New Roman;Times;Serif"/>
                <w:b w:val="false"/>
                <w:i w:val="false"/>
                <w:caps w:val="false"/>
                <w:smallCaps w:val="false"/>
                <w:sz w:val="20"/>
              </w:rPr>
              <w:t xml:space="preserve"> As used in this Agreement, the term “Work Product” means any invention, know-how, design, mask work, trademark, formula, process, manufacturing technique, trade secret, idea, artwork, software, or other copyrightable or patentable work.</w:t>
            </w:r>
          </w:p>
        </w:tc>
      </w:tr>
    </w:tbl>
    <w:p>
      <w:pPr>
        <w:pStyle w:val="TextBody"/>
        <w:bidi w:val="0"/>
        <w:spacing w:before="0" w:after="0"/>
        <w:ind w:left="144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 Confidentiality, and Ownership of Company Work Product..</w:t>
            </w:r>
            <w:r>
              <w:rPr>
                <w:rFonts w:ascii="Times New Roman;Times;Serif" w:hAnsi="Times New Roman;Times;Serif"/>
                <w:b w:val="false"/>
                <w:i w:val="false"/>
                <w:caps w:val="false"/>
                <w:smallCaps w:val="false"/>
                <w:sz w:val="20"/>
              </w:rPr>
              <w:t xml:space="preserve"> Executive will promptly disclose in writing to Company all Work Product that Executive, alone or with others, conceives, creates, reduces to practice, or learns while performing work for Company (“Company Work Product”). Executive will keep Company Work Product confidential and use or disclose it only as authorized in writing by Company. Company Work Product created in performing services under this Agreement will be “work made for hire” to the extent permitted by law and will belong exclusively to Company. Executive irrevocably assigns Company all rights in Company Work Product, including all related intellectual property rights, and will not use it or challenge Company’s ownership. Executive also grants Company a perpetual, irrevocable, worldwide, fully paid, royalty-free, sublicensable license to use, reproduce, modify, distribute, perform, display, make, and sell any Executive-owned or controlled Work Product or technology incorporated into or necessary to use or exploit Company Work Product.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Assistance and Executive Representations and Warranties..</w:t>
            </w:r>
            <w:r>
              <w:rPr>
                <w:rFonts w:ascii="Times New Roman;Times;Serif" w:hAnsi="Times New Roman;Times;Serif"/>
                <w:b w:val="false"/>
                <w:i w:val="false"/>
                <w:caps w:val="false"/>
                <w:smallCaps w:val="false"/>
                <w:sz w:val="20"/>
              </w:rPr>
              <w:t xml:space="preserve"> Executive will assist Company, during and after the Term, in securing and enforcing rights in Company Work Product and will sign documents reasonably requested for that purpose. For assistance requested after the Term, Company will pay Executive a reasonable rate mutually agreed upon for time spent. Executive represents that Company Work Product will be original or properly assigned to Company, will not infringe third-party rights or be subject to conflicting rights or restrictions, and that Executive will not grant third parties rights in it. Executive further represents that Executive may perform this Agreement without third-party consent, will use best efforts to prevent injury or property damage, and will be responsible for injury or damage arising from Executive’s use of Company equipment, tools, or facilities.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General Representations and Warranties of Executive</w:t>
      </w:r>
      <w:r>
        <w:rPr>
          <w:rFonts w:ascii="Times New Roman;Times;Serif" w:hAnsi="Times New Roman;Times;Serif"/>
          <w:b w:val="false"/>
          <w:i w:val="false"/>
          <w:caps w:val="false"/>
          <w:smallCaps w:val="false"/>
          <w:sz w:val="20"/>
        </w:rPr>
        <w:t>. Executive represents and warrants to the Company as follows: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has been duly and validly authorized by Executive.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has been duly executed and delivered on behalf of Executive, and this Agreement constitutes a valid and binding agreement of Executive enforceable in accordance with its terms, subject to the application of applicable bankruptcy, insolvency, reorganization, moratorium, fraudulent conveyance and other similar laws of general application affecting enforcement of creditors’ rights generally and general principles of equity.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is an individual resident of the state set forth in the notices provision for Executive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Effect of Waiver</w:t>
      </w:r>
      <w:r>
        <w:rPr>
          <w:rFonts w:ascii="Times New Roman;Times;Serif" w:hAnsi="Times New Roman;Times;Serif"/>
          <w:b w:val="false"/>
          <w:i w:val="false"/>
          <w:caps w:val="false"/>
          <w:smallCaps w:val="false"/>
          <w:sz w:val="20"/>
        </w:rPr>
        <w:t>. The waiver by either Party of a breach of any provision of this Agreement shall not operate or be construed as a waiver of any subsequent breach hereof. No waiver shall be valid unless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No Party shall have any power or any right to assign or transfer, in whole or in part, this Agreement, or any of its rights or any of its obligations hereunder, including, without limitation, any right to pursue any claim for damages pursuant to this Agreement or the transactions contemplated herein, or to pursue any claim for any breach or default of this Agreement, or any right arising from the purported assignor’s due performance of its obligations hereunder, whether by operation of law or otherwise, without the prior written consent of the other Party and any such purported assignment in contravention of the provisions herein shall be null and void and of no force or effect. Notwithstanding the foregoing, the Company may transfer, assign or delegate to any successor (whether direct or indirect, by purchase, merger, consolidation or otherwise) to all or substantially all of the business and/or assets of the Company any of Company’s rights, obligations or duties hereunder. As used in this Agreement, “Company” shall mean the Company as herein defined and any successor to its business and/or assets which assumes and agrees to perform this Agreement by operation of law, or otherwise.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No Third-Party Rights</w:t>
      </w:r>
      <w:r>
        <w:rPr>
          <w:rFonts w:ascii="Times New Roman;Times;Serif" w:hAnsi="Times New Roman;Times;Serif"/>
          <w:b w:val="false"/>
          <w:i w:val="false"/>
          <w:caps w:val="false"/>
          <w:smallCaps w:val="false"/>
          <w:sz w:val="20"/>
        </w:rPr>
        <w:t>. Except as expressly provided in this Agreement, this Agreement is intended solely for the benefit of the Parties hereto and is not intended to confer any benefits upon, or create any rights in favor of, any Person other than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Entire Agreement; Effectiveness of Agreement</w:t>
      </w:r>
      <w:r>
        <w:rPr>
          <w:rFonts w:ascii="Times New Roman;Times;Serif" w:hAnsi="Times New Roman;Times;Serif"/>
          <w:b w:val="false"/>
          <w:i w:val="false"/>
          <w:caps w:val="false"/>
          <w:smallCaps w:val="false"/>
          <w:sz w:val="20"/>
        </w:rPr>
        <w:t>. This Agreement and any other agreement entered into between the Company and Executive with respect to the issuance of any equity securities of the Company or other equity awards relating to the Company set forth the entire agreement of the Parties hereto and shall supersede any and all prior agreements and understandings concerning the Executive’s employment by the Company. This Agreement may be changed only by a written document signed by the Executive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All provisions of this Agreement that, by their terms, are intended to survive the termination or expiration of this Agreement shall survive such termination or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one or more of the provisions, or portions of any provision, of the Agreement shall be held to be invalid, illegal or unenforceable, the validity, legality or enforceability of the remaining provisions or parts hereof shall not in any way be affected or impaired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Governing Law and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and all claims, proceedings or causes of action relating to this Agreement or arising from this Agreement or the transactions contemplated herein, including, without limitation, tort claims, statutory claims and contract claims, shall be interpreted, construed, governed and enforced under and solely in accordance with the substantive and procedural laws of the State of Georgia, in each case as in effect from time to time and as the same may be amended from time to time, and as applied to agreements performed wholly within the State of Georgia.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SUBJECT TO ‎‎Section 18, EACH PARTY AGREES THAT ALL LEGAL PROCEEDINGS CONCERNING THIS AGREEMENT SHALL BE COMMENCED IN THE STATE AND FEDERAL COURTS SITTING IN FULTON COUNTY, GEORGIA (THE “SELECTED COURTS”) WITH RESPECT TO ANY ENFORCEMENT OF AN ARBITRAL AWARD PURSUANT TO ‎‎Section 18, WITH RESPECT TO ENFORCEMENT OF THE PROVISIONS OF ‎‎Section 19, AND WITH RESPECT TO THE RESOLUTION OF ANY PROCEEDING OR DISPUTE WHICH IS NOT ABLE TO BE RESOLVED PURSUANT TO THE PROVISIONS OF ‎‎Section 18 FOR ANY REASON. EACH PARTY HERETO HEREBY IRREVOCABLY SUBMITS TO THE EXCLUSIVE JURISDICTION OF THE SELECTED COURTS FOR THE ADJUDICATION OF ANY DISPUTE HEREUNDER OR IN CONNECTION HEREWITH OR WITH ANY TRANSACTION CONTEMPLATED HEREBY OR DISCUSSED HEREIN (INCLUDING WITH RESPECT TO THE ENFORCEMENT OF THE RIGHTS OF A PARTY UNDER THIS AGREEMENT), AND HEREBY IRREVOCABLY WAIVES, AND AGREES NOT TO ASSERT IN ANY SUIT, ACTION OR PROCEEDING, ANY CLAIM THAT IT IS NOT PERSONALLY SUBJECT TO THE JURISDICTION OF SUCH SELECTED COURTS, OR SUCH SELECTED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APPLICABLE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smallCaps/>
                <w:sz w:val="20"/>
              </w:rPr>
              <w:t>LAW.</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PERMITTED BY APPLICABLE LAW, PARTY HEREBY WAIVES, TO THE FULLEST EXTENT PERMITTED BY APPLICABLE LAW, ANY RIGHT IT MAY HAVE TO A TRIAL BY JURY IN ANY LEGAL PROCEEDING DIRECTLY OR INDIRECTLY ARISING OUT OF OR RELATING TO THIS AGREEMENT. </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Any controversy, claim or dispute arising out of or relating to this Agreement or the Executive’s employment by the Company, or the termination thereof, including, but not limited to, common law and statutory claims for discrimination, wrongful discharge, and unpaid wages, shall be resolved by arbitration in Atlanta, Georgia pursuant to then-prevailing National Rules for the Resolution of Employment Disputes of the American Arbitration Association. The arbitration shall be conducted by one arbitrator jointly selected by the Parties. In the event that the Parties are unable to agree on the identity of the arbitrator within ten days of the commencement of efforts to do so, each Party shall select one arbitrator and the two arbitrators so selected shall select the sole arbitrator who shall hear and resolve controversy, claim or dispute. The arbitrator shall be bound to follow the applicable Agreement provisions in adjudicating the dispute. It is agreed by both Parties that the arbitrator’s decision is final, and that no Party may take any action, judicial or administrative, to overturn such decision. The judgment rendered by the arbitrator may be entered in the Selected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General Remedies.</w:t>
      </w:r>
      <w:r>
        <w:rPr>
          <w:rFonts w:ascii="Times New Roman;Times;Serif" w:hAnsi="Times New Roman;Times;Serif"/>
          <w:b w:val="false"/>
          <w:i w:val="false"/>
          <w:caps w:val="false"/>
          <w:smallCaps w:val="false"/>
          <w:sz w:val="20"/>
        </w:rPr>
        <w:t xml:space="preserve"> Each Party acknowledges that a breach by it of its obligations hereunder will cause irreparable harm to the other Party, and thus each Party acknowledges that the remedy at law for a breach of its obligations under this Agreement will be inadequate and agrees, in the event of a breach or threatened breach by such Party of the provisions of this Agreement, that the other Party shall be entitled, in addition to all other available remedies at law or in equity, and in addition to the penalties assessable herein, to an injunction or injunctions restraining, preventing or curing any breach of this Agreement and to enforce specifically the terms and provisions hereof, without the necessity of showing economic loss and without any bond or other security being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Other than as specifically set forth herein, each of the Parties will bear their own respective expenses, including legal, accounting and professional fees, incurred in connection with this Agreement and the transactions contemplated herein.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hereunder shall be in writing and shall be given by hand delivery to the other Party, or by registered or certified mail, return receipt requested, postage prepaid, or by email with return receipt requested and received, or nationally recognized overnight courier service, addressed as set forth below or to such other address as either Party shall have furnished to the other in writing in accordance herewith. All notices, requests, demands and other communications shall be deemed to have been duly given (i) when delivered by hand, if personally delivered, (ii) when delivered by courier or overnight mail, if delivered by commercial courier service or overnight mail, and (iii) on receipt of confirmed delivery, if sent by email.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 Holdings, Inc.</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Mr. Grady Ryther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Moto-Akasake</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Minato-ku, Tokyo, 107-0051 Japan</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gryther@post.harvard.edu</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Anslow, Esq.</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Ellenoff Grossman &amp; Schole LLP</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 Avenue of the Americas, 11th Floor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10105</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370-1300</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ranslow@egsllp.com</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Executive, to:</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William Witherspoon</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Maynard Terrace SE</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30316</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spacecapitalinvestments@gmail.com</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contained in this Agreement are inserted for convenience only and shall not affect in any way the meaning or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 </w:t>
      </w:r>
      <w:r>
        <w:rPr>
          <w:rFonts w:ascii="Times New Roman;Times;Serif" w:hAnsi="Times New Roman;Times;Serif"/>
          <w:b w:val="false"/>
          <w:i w:val="false"/>
          <w:caps w:val="false"/>
          <w:smallCaps w:val="false"/>
          <w:sz w:val="20"/>
          <w:u w:val="single"/>
        </w:rPr>
        <w:t>Counsel</w:t>
      </w:r>
      <w:r>
        <w:rPr>
          <w:rFonts w:ascii="Times New Roman;Times;Serif" w:hAnsi="Times New Roman;Times;Serif"/>
          <w:b w:val="false"/>
          <w:i w:val="false"/>
          <w:caps w:val="false"/>
          <w:smallCaps w:val="false"/>
          <w:sz w:val="20"/>
        </w:rPr>
        <w:t>. The Parties acknowledge and agree that legal counsel to the Company (“Counsel”) has prepared this Agreement at the request of the Company, and that Counsel is not legal counsel to Executive individually.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Rule of Construction</w:t>
      </w:r>
      <w:r>
        <w:rPr>
          <w:rFonts w:ascii="Times New Roman;Times;Serif" w:hAnsi="Times New Roman;Times;Serif"/>
          <w:b w:val="false"/>
          <w:i w:val="false"/>
          <w:caps w:val="false"/>
          <w:smallCaps w:val="false"/>
          <w:sz w:val="20"/>
        </w:rPr>
        <w:t>. The general rule of construction for interpreting a contract, which provides that the provisions of a contract should be construed against the Party preparing the contract, is waived by the Parties hereto. Each Party acknowledges that such Party was represented by separate legal counsel in this matter who participated in the preparation of this Agreement or such Party had the opportunity to retain counsel to participate in the preparation of this Agreement but elected not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Execution in Counterparts, Electronic Transmission</w:t>
      </w:r>
      <w:r>
        <w:rPr>
          <w:rFonts w:ascii="Times New Roman;Times;Serif" w:hAnsi="Times New Roman;Times;Serif"/>
          <w:b w:val="false"/>
          <w:i w:val="false"/>
          <w:caps w:val="false"/>
          <w:smallCaps w:val="false"/>
          <w:sz w:val="20"/>
        </w:rPr>
        <w:t>. This Agreement may be executed in multiple counterparts, each of which shall be deemed an original and all of which taken together shall be but a single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appear on following page]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Effective Date.</w:t>
      </w:r>
    </w:p>
    <w:p>
      <w:pPr>
        <w:pStyle w:val="TextBody"/>
        <w:bidi w:val="0"/>
        <w:spacing w:before="0" w:after="0"/>
        <w:ind w:left="0" w:right="0" w:firstLine="72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75"/>
        <w:gridCol w:w="365"/>
        <w:gridCol w:w="20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 Holdings,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Grady Ryther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Grady Ryther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William Witherspoon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Witherspoon</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4124</Words>
  <Characters>22699</Characters>
  <CharactersWithSpaces>26831</CharactersWithSpaces>
  <Paragraphs>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